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C3" w:rsidRPr="00FF71C3" w:rsidRDefault="00FF71C3" w:rsidP="00FF71C3">
      <w:pPr>
        <w:spacing w:after="0"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bookmarkStart w:id="0" w:name="_GoBack"/>
      <w:bookmarkEnd w:id="0"/>
      <w:r w:rsidRPr="00FF71C3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Pravilnik o elementima i kriterijima za izbor kandidata za upis u I. razred srednje škole</w:t>
      </w:r>
    </w:p>
    <w:p w:rsidR="00FF71C3" w:rsidRDefault="00FF71C3" w:rsidP="00FF71C3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</w:p>
    <w:p w:rsidR="00FF71C3" w:rsidRPr="00EC061F" w:rsidRDefault="00FF71C3" w:rsidP="00FF71C3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i/>
          <w:iCs/>
          <w:color w:val="000000"/>
          <w:sz w:val="36"/>
          <w:szCs w:val="36"/>
        </w:rPr>
      </w:pPr>
      <w:r w:rsidRPr="00EC061F">
        <w:rPr>
          <w:rFonts w:ascii="Minion Pro" w:hAnsi="Minion Pro"/>
          <w:b/>
          <w:i/>
          <w:iCs/>
          <w:color w:val="000000"/>
          <w:sz w:val="36"/>
          <w:szCs w:val="36"/>
        </w:rPr>
        <w:t>Vrednovanje uspjeha radi upisa u programe likovne umjetnosti i dizajna</w:t>
      </w:r>
    </w:p>
    <w:p w:rsidR="00FF71C3" w:rsidRPr="00EC061F" w:rsidRDefault="00FF71C3" w:rsidP="00FF71C3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36"/>
          <w:szCs w:val="36"/>
        </w:rPr>
      </w:pPr>
      <w:r w:rsidRPr="00EC061F">
        <w:rPr>
          <w:rFonts w:ascii="Minion Pro" w:hAnsi="Minion Pro"/>
          <w:color w:val="000000"/>
          <w:sz w:val="36"/>
          <w:szCs w:val="36"/>
        </w:rPr>
        <w:t>Članak 10.</w:t>
      </w:r>
    </w:p>
    <w:p w:rsidR="00FF71C3" w:rsidRPr="00EC061F" w:rsidRDefault="00FF71C3" w:rsidP="00FF71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  <w:sz w:val="36"/>
          <w:szCs w:val="36"/>
        </w:rPr>
      </w:pPr>
      <w:r w:rsidRPr="00EC061F">
        <w:rPr>
          <w:rFonts w:ascii="Minion Pro" w:hAnsi="Minion Pro"/>
          <w:color w:val="000000"/>
          <w:sz w:val="36"/>
          <w:szCs w:val="36"/>
        </w:rPr>
        <w:t>(1) Za upis kandidata u programe likovne umjetnosti i dizajna provjerava se darovitost kandidata za likovno izražavanje crtanjem olovkom ili ugljenom te slikanjem (tempera, gvaš ili akvarel). Navedenom provjerom moguće je ostvariti najviše 120 bodova, a minimalni bodovni prag na navedenoj provjeri je 70 bodova.</w:t>
      </w:r>
    </w:p>
    <w:p w:rsidR="00FF71C3" w:rsidRPr="00EC061F" w:rsidRDefault="00FF71C3" w:rsidP="00FF71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  <w:sz w:val="36"/>
          <w:szCs w:val="36"/>
        </w:rPr>
      </w:pPr>
      <w:r w:rsidRPr="00EC061F">
        <w:rPr>
          <w:rFonts w:ascii="Minion Pro" w:hAnsi="Minion Pro"/>
          <w:color w:val="000000"/>
          <w:sz w:val="36"/>
          <w:szCs w:val="36"/>
        </w:rPr>
        <w:t>(2) Konačna ljestvica poretka kandidata utvrđuje se zbrajanjem bodova dobivenih provjerom darovitosti za likovno izražavanje i zajedničkog, dodatnog i posebnog elementa vrednovanja.</w:t>
      </w:r>
    </w:p>
    <w:p w:rsidR="00FF71C3" w:rsidRPr="00EC061F" w:rsidRDefault="00FF71C3" w:rsidP="00FF71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  <w:sz w:val="36"/>
          <w:szCs w:val="36"/>
        </w:rPr>
      </w:pPr>
      <w:r w:rsidRPr="00EC061F">
        <w:rPr>
          <w:rFonts w:ascii="Minion Pro" w:hAnsi="Minion Pro"/>
          <w:color w:val="000000"/>
          <w:sz w:val="36"/>
          <w:szCs w:val="36"/>
        </w:rPr>
        <w:t>(3) Ako dva ili više kandidata imaju isti ukupan broj bodova, upisuje se onaj kandidat koji je ostvario veći broj bodova iz provjere darovitosti za likovno izražavanje.</w:t>
      </w:r>
    </w:p>
    <w:p w:rsidR="00C54001" w:rsidRPr="00FF71C3" w:rsidRDefault="00C54001" w:rsidP="00FF71C3"/>
    <w:sectPr w:rsidR="00C54001" w:rsidRPr="00FF71C3" w:rsidSect="00FF7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C3"/>
    <w:rsid w:val="00067FAD"/>
    <w:rsid w:val="004370C9"/>
    <w:rsid w:val="00C54001"/>
    <w:rsid w:val="00EC061F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0AC36-CEA0-45C5-A357-9BCD4321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kurz-s">
    <w:name w:val="t-10-9-kurz-s"/>
    <w:basedOn w:val="Normal"/>
    <w:rsid w:val="00FF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F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F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2020-06-01T10:24:00Z</dcterms:created>
  <dcterms:modified xsi:type="dcterms:W3CDTF">2020-06-01T10:24:00Z</dcterms:modified>
</cp:coreProperties>
</file>